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  <w:lang w:eastAsia="zh-CN"/>
        </w:rPr>
        <w:t>巴中中学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6"/>
          <w:sz w:val="44"/>
          <w:szCs w:val="44"/>
        </w:rPr>
        <w:t>生涯规划及心理健康教育服务项目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比选报价表</w:t>
      </w:r>
    </w:p>
    <w:p/>
    <w:p/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报价单位（盖章）：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报 价 人（签字）：</w:t>
      </w:r>
    </w:p>
    <w:p>
      <w:pPr>
        <w:rPr>
          <w:sz w:val="30"/>
          <w:szCs w:val="30"/>
        </w:rPr>
      </w:pPr>
    </w:p>
    <w:tbl>
      <w:tblPr>
        <w:tblStyle w:val="3"/>
        <w:tblpPr w:leftFromText="180" w:rightFromText="180" w:horzAnchor="margin" w:tblpY="1380"/>
        <w:tblW w:w="86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4128"/>
        <w:gridCol w:w="1533"/>
        <w:gridCol w:w="14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项目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 xml:space="preserve">      培训内容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金额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生涯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规划课程</w:t>
            </w: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生涯规划基本理论及分析模型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培训时间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天，培训总人数约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新高考改革与志愿填报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学校生涯规划内容和路径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生涯规划课程建设与实施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；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1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心理健康教育课程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中小学生心理问题解决策略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与家长有效沟通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4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教师的职业倦怠与自我心理建设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4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合 计</w:t>
            </w:r>
          </w:p>
        </w:tc>
        <w:tc>
          <w:tcPr>
            <w:tcW w:w="7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/>
    <w:p/>
    <w:p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</w:rPr>
        <w:t xml:space="preserve">                                                       </w:t>
      </w:r>
      <w:r>
        <w:rPr>
          <w:rFonts w:hint="eastAsia"/>
          <w:sz w:val="30"/>
          <w:szCs w:val="30"/>
        </w:rPr>
        <w:t xml:space="preserve">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640D3"/>
    <w:rsid w:val="19260BA4"/>
    <w:rsid w:val="676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2020-07-20T02:51:00Z</dcterms:created>
  <dc:creator>微风</dc:creator>
  <cp:lastModifiedBy>微风</cp:lastModifiedBy>
  <dcterms:modified xsi:type="dcterms:W3CDTF">2020-07-20T02:52:20Z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