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autoSpaceDE w:val="0"/>
        <w:autoSpaceDN w:val="0"/>
        <w:adjustRightInd w:val="0"/>
        <w:ind w:leftChars="0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七年级下册第4课唐朝的中外文化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交流教案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课标要求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240" w:lineRule="exact"/>
        <w:textAlignment w:val="auto"/>
        <w:outlineLvl w:val="1"/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 w:bidi="ar-SA"/>
        </w:rPr>
        <w:t>以遣唐使、鉴真东渡、玄奘西行等史实为例，说明唐代中外文化交流的发展。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ind w:left="420" w:leftChars="0" w:hanging="420" w:firstLine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课前分析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1.教材分析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唐朝的中外文化交流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是七年级下册第四课的内容。本课内容包括三个子目：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“遣唐使和鉴真东渡”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，介绍了日本遣唐使来唐朝学习先进文化，以及鉴真东渡日本传播中国先进文化的内容。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“唐与新罗的关系”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介绍了唐朝与新罗交往的史实。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“玄奘西行”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，介绍了玄奘西行天竺的内容。从教材内容可以看出大唐帝国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以兼容并蓄的开放政策吸纳外来文化之精华，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灿烂的中华文化深深地影响了友好邻邦。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2.学情分析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课教学对象是七年级的学生，已经具备了一定的阅读理解能力和分析史料的能力。他们对历史人物和历史故事充满兴趣，对活动也有参与的热情。但这一年龄段的学生对于问题的分析和理解还不到位，需要老师的肯定和适当的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0" w:leftChars="0" w:hanging="420" w:firstLine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学习目标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0" w:firstLineChars="0"/>
        <w:textAlignment w:val="auto"/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目标1：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通过唐朝世界形势图，认识当时世界的形势，体会唐朝的强盛，</w:t>
      </w: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增强时空观念。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目标2：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通过归纳教材，知道遣唐使的基本信息，学会归纳总结、提取关键信息。通过实例对比，认识唐文化对日本的影响。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目标3：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通过微课、历史剧了解</w:t>
      </w: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玄奘西行、鉴真东渡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的史实，体会玄奘、鉴真为了理想坚持不懈奋斗的精神。明确唐朝对外交往活跃，在对外交往的过程中，无数的文化使者不断的坚持不懈，才最终构成了开放繁荣的大唐，形成对中华文化的认同感，确立坚持不懈的态度，</w:t>
      </w: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深化家国情怀。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目标4：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通过分析材料，理解唐朝对外交往活跃的原因，培养</w:t>
      </w: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“论从史出、史论结合”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的思维方法。（难点）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420" w:leftChars="0" w:hanging="420" w:firstLine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评价任务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任务1：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能够了解玄奘西行和鉴真东渡的基本史实，完成玄奘、鉴真异同点对比表。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任务2：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能够根据材料，总结出唐朝对外交往活跃的原因，明确唐朝当时的国际地位及其兼容并包的开放政策。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任务3：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根据学习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能独立绘制本节课的知识框架，并在学历案上展示出来。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numPr>
          <w:ilvl w:val="0"/>
          <w:numId w:val="5"/>
        </w:numPr>
        <w:autoSpaceDE w:val="0"/>
        <w:autoSpaceDN w:val="0"/>
        <w:adjustRightInd w:val="0"/>
        <w:ind w:left="420" w:leftChars="0" w:hanging="420" w:firstLine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学习过程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1.课前预习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①</w:t>
      </w:r>
      <w:r>
        <w:rPr>
          <w:rFonts w:hint="eastAsia" w:ascii="仿宋" w:hAnsi="仿宋" w:eastAsia="仿宋" w:cs="仿宋"/>
          <w:kern w:val="0"/>
          <w:sz w:val="24"/>
          <w:szCs w:val="24"/>
        </w:rPr>
        <w:t>通读教材，进行知识梳理，勾画课本；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注意玄奘西行、鉴真东渡的史实。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）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 w:cs="仿宋"/>
          <w:kern w:val="0"/>
          <w:sz w:val="24"/>
          <w:szCs w:val="24"/>
        </w:rPr>
        <w:t>将预习中不能解决的问题标出来，填写到 “我的疑问”处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我的疑问：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2.课中学习</w:t>
      </w:r>
    </w:p>
    <w:p>
      <w:pPr>
        <w:spacing w:line="0" w:lineRule="atLeas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①导入新课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【教师活动】展示唐朝时世界形势图，分析唐朝时世界各地的发展情况。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【学生活动】观察图片，明确唐朝时，我国在世界上居于领先地位，是当时世界上最强大的帝国。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beforeAutospacing="0" w:afterAutospacing="0" w:line="320" w:lineRule="exact"/>
        <w:ind w:firstLine="0" w:firstLineChars="0"/>
        <w:textAlignment w:val="auto"/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【学生学习目标预设】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通过唐朝时世界形势图，认识当时世界的形势，体会唐朝的强盛，</w:t>
      </w: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增强时空观念。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spacing w:line="0" w:lineRule="atLeas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②引进来——西取真经来我朝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【教师活动】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1)介绍玄奘的基本情况；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2)播放玄奘西行的微课。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【学生活动】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1)根据自己的认知回答玄奘的主要事迹。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2)根据微课，提取玄奘西行的时间、路线、目的、成就，以及体会玄奘在西行途中表现出的优秀品质。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a.玄奘西行的时间、路线、目的、成就：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b.玄奘的优秀品质：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276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【学生学习目标预设】通过微课，了解玄奘西行的基本史实，体会玄奘不畏艰险，为了求法坚持不懈的精神。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③走出去——唐朝文化渡东海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【教师活动】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1)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展示遣唐使来华情况表；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2)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展示日本受到唐朝文化影响的实例；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3)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引出历史剧——鉴真东渡，并布置相应任务；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4)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展示鉴真东渡相关史料数字，提问：你们知道这些数字分别代表什么吗？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5)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  <w:t>总结鉴真东渡的影响。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【学生活动】</w:t>
      </w:r>
    </w:p>
    <w:p>
      <w:pPr>
        <w:numPr>
          <w:ilvl w:val="0"/>
          <w:numId w:val="6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根据教材，总结归纳出遣唐使来华的基本信息。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a.遣唐使来华的基本信息：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line="276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根据实例，明确唐朝的先进文化深刻的影响了日本，遣唐使来华促进了中日文化的交流。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3)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表演/观看历史剧，明确鉴真东渡的目的。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4)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浏览教材，通过回答数字代表的含义，明确鉴真东渡的艰难。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5)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体会鉴真身上的的优秀品质，完成玄奘、鉴真异同点对比表。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4987925" cy="1772285"/>
            <wp:effectExtent l="0" t="0" r="3175" b="18415"/>
            <wp:docPr id="2" name="图片 2" descr="QQ截图201904220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4220000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【学生学习目标预设】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通过归纳教材，了解遣唐使来华的基本信息，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学会归纳总结、提取关键信息。通过实例对比，认识唐文化对日本的影响，明确唐朝文化的繁荣。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通过历史剧了解鉴真东渡的目的及决心，再结合教材，体会鉴真东渡的过程中信守承诺，不惧艰难，为了传法坚持不懈的精神。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通过完成玄奘、鉴真对比表，对本节课的重点内容——玄奘西行、鉴真东渡的基本史实进行整合。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spacing w:line="0" w:lineRule="atLeas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④唐朝对外交往活跃的原因</w:t>
      </w:r>
    </w:p>
    <w:p>
      <w:pPr>
        <w:spacing w:line="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【教师活动】展示三则相关材料，提问：唐朝对外交往活跃的原因有哪些？</w:t>
      </w:r>
      <w:r>
        <w:rPr>
          <w:rFonts w:hint="eastAsia" w:ascii="仿宋" w:hAnsi="仿宋" w:eastAsia="仿宋" w:cs="仿宋"/>
          <w:bCs/>
          <w:sz w:val="24"/>
          <w:szCs w:val="24"/>
        </w:rPr>
        <w:t>（学法指导：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尝试从政治、经济、交通等方面分析。</w:t>
      </w:r>
      <w:r>
        <w:rPr>
          <w:rFonts w:hint="eastAsia" w:ascii="仿宋" w:hAnsi="仿宋" w:eastAsia="仿宋" w:cs="仿宋"/>
          <w:bCs/>
          <w:sz w:val="24"/>
          <w:szCs w:val="24"/>
        </w:rPr>
        <w:t>）</w:t>
      </w:r>
    </w:p>
    <w:p>
      <w:pPr>
        <w:numPr>
          <w:ilvl w:val="0"/>
          <w:numId w:val="0"/>
        </w:numPr>
        <w:spacing w:line="0" w:lineRule="atLeas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【学生活动】分析材料，结合所学知识，小组讨论得出结论。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none"/>
          <w:lang w:val="en-US" w:eastAsia="zh-CN"/>
        </w:rPr>
        <w:t>a.唐朝对外交往活跃的原因：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【学生学习目标预设】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通过分析材料，理解唐朝对外交往活跃的原因，培养</w:t>
      </w:r>
      <w:r>
        <w:rPr>
          <w:rFonts w:hint="eastAsia" w:ascii="仿宋" w:hAnsi="仿宋" w:eastAsia="仿宋" w:cs="仿宋"/>
          <w:b/>
          <w:bCs w:val="0"/>
          <w:i w:val="0"/>
          <w:iCs w:val="0"/>
          <w:kern w:val="0"/>
          <w:sz w:val="24"/>
          <w:szCs w:val="24"/>
          <w:lang w:val="en-US" w:eastAsia="zh-CN" w:bidi="ar-SA"/>
        </w:rPr>
        <w:t>“论从史出、史论结合”</w:t>
      </w: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24"/>
          <w:szCs w:val="24"/>
          <w:lang w:val="en-US" w:eastAsia="zh-CN" w:bidi="ar-SA"/>
        </w:rPr>
        <w:t>的思维方法。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0" w:lineRule="atLeas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⑤本课小结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【教师活动】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讲述在唐朝时，正是由于像玄奘、鉴真一样的文化使者，比如：新罗的崔致远、日本的空海等人不畏艰险，不懈坚持，最终谱写了开放繁荣的盛世大唐，唐朝以她兼容并包的态度容纳着来自世界的不同文化，而灿烂的中华文化也深深的影响着世界。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【学生活动】</w:t>
      </w:r>
    </w:p>
    <w:p>
      <w:pPr>
        <w:spacing w:line="240" w:lineRule="atLeas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归纳总结，尝试构建本节课的知识框架。</w:t>
      </w:r>
    </w:p>
    <w:p>
      <w:pPr>
        <w:spacing w:line="0" w:lineRule="atLeas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（学法指导：注意知识间的联系，并用简洁的语言表述。设计意图：构建知识网络，融会贯通知识。）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420" w:leftChars="0" w:hanging="420" w:firstLine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检测与练习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1.六次东渡日本的唐朝高僧是（　　）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　A.鉴真　　　　B.玄奘　　　　C.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班超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　　　D.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郑和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2015年5月，国家主席习近平举行隆重仪式欢迎印度总理莫迪访华，莫迪访华促进了中印经济文化交流。早在唐朝我国就有一位为中印文化交流做出重要贡献的使者，他是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（　  ）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　A.鉴真　　　　B.玄奘　　　　C.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班超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　　　D.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郑和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3.假如你要查看有关印度的历史地理风俗，你该查阅下列哪本书（   ）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A.《徐霞客游记》   B.《西游记》  C .《大唐西域记》    D  .《史记》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唐朝中外交往出现了盛况空前的局面，出现这一局面的根本原因是（    ）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唐朝国力强盛，文化繁荣        B.唐朝社会安定     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C. 唐朝对外政策开放              D.唐朝对外交通发达</w:t>
      </w:r>
    </w:p>
    <w:p>
      <w:pPr>
        <w:numPr>
          <w:ilvl w:val="0"/>
          <w:numId w:val="11"/>
        </w:numPr>
        <w:autoSpaceDE w:val="0"/>
        <w:autoSpaceDN w:val="0"/>
        <w:adjustRightInd w:val="0"/>
        <w:ind w:left="420" w:leftChars="0" w:hanging="420" w:firstLine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学后反思</w:t>
      </w:r>
    </w:p>
    <w:p>
      <w:pPr>
        <w:spacing w:line="240" w:lineRule="atLeas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1.课前预习时的问题还有哪些没有解决？</w:t>
      </w:r>
      <w:r>
        <w:rPr>
          <w:rFonts w:hint="eastAsia" w:ascii="仿宋" w:hAnsi="仿宋" w:eastAsia="仿宋" w:cs="仿宋"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课后查找资料或寻求同学、老师的帮助。）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jc w:val="left"/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Mongolian Baiti">
    <w:altName w:val="Arabic Typesetting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Consolas">
    <w:panose1 w:val="020B06090202040A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711F0"/>
    <w:multiLevelType w:val="singleLevel"/>
    <w:tmpl w:val="962711F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881272"/>
    <w:multiLevelType w:val="singleLevel"/>
    <w:tmpl w:val="A088127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D8D87F0"/>
    <w:multiLevelType w:val="singleLevel"/>
    <w:tmpl w:val="AD8D87F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CEE239D5"/>
    <w:multiLevelType w:val="singleLevel"/>
    <w:tmpl w:val="CEE239D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D376CC54"/>
    <w:multiLevelType w:val="singleLevel"/>
    <w:tmpl w:val="D376CC54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5">
    <w:nsid w:val="F006B6BB"/>
    <w:multiLevelType w:val="singleLevel"/>
    <w:tmpl w:val="F006B6B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3EF669D5"/>
    <w:multiLevelType w:val="singleLevel"/>
    <w:tmpl w:val="3EF669D5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7">
    <w:nsid w:val="49599BB9"/>
    <w:multiLevelType w:val="singleLevel"/>
    <w:tmpl w:val="49599BB9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756DDEC5"/>
    <w:multiLevelType w:val="singleLevel"/>
    <w:tmpl w:val="756DDEC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7761A75A"/>
    <w:multiLevelType w:val="singleLevel"/>
    <w:tmpl w:val="7761A75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7D768984"/>
    <w:multiLevelType w:val="singleLevel"/>
    <w:tmpl w:val="7D76898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3E8A"/>
    <w:rsid w:val="07BA3CB9"/>
    <w:rsid w:val="092051CF"/>
    <w:rsid w:val="0D443E8A"/>
    <w:rsid w:val="0DF72456"/>
    <w:rsid w:val="0FBC02FA"/>
    <w:rsid w:val="190716EE"/>
    <w:rsid w:val="1BDC7A2A"/>
    <w:rsid w:val="20052320"/>
    <w:rsid w:val="22567186"/>
    <w:rsid w:val="24FC135E"/>
    <w:rsid w:val="26C529AF"/>
    <w:rsid w:val="2DD7310B"/>
    <w:rsid w:val="30C86C10"/>
    <w:rsid w:val="3E9D34E0"/>
    <w:rsid w:val="46943BA6"/>
    <w:rsid w:val="4A6D3C68"/>
    <w:rsid w:val="4C5029A3"/>
    <w:rsid w:val="5003232A"/>
    <w:rsid w:val="5084271C"/>
    <w:rsid w:val="51D61DCB"/>
    <w:rsid w:val="597F3696"/>
    <w:rsid w:val="5BBA5153"/>
    <w:rsid w:val="5CC45449"/>
    <w:rsid w:val="671669DE"/>
    <w:rsid w:val="68997AA9"/>
    <w:rsid w:val="6A627F36"/>
    <w:rsid w:val="74E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Mongolian Baiti"/>
      <w:b/>
      <w:bCs/>
      <w:sz w:val="32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28BCA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428BCA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2019-04-18T15:15:00Z</dcterms:created>
  <dc:creator>????</dc:creator>
  <cp:lastModifiedBy>Administrator</cp:lastModifiedBy>
  <dcterms:modified xsi:type="dcterms:W3CDTF">2021-06-05T11:43:29Z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