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8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四川省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巴中中学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龙湖、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兴文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校区</w:t>
      </w:r>
    </w:p>
    <w:p w14:paraId="42A1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室外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监控系统建设项目基本需求</w:t>
      </w:r>
    </w:p>
    <w:p w14:paraId="5EB1C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3788E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</w:rPr>
        <w:t>校园进出口</w:t>
      </w:r>
      <w:r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安全</w:t>
      </w:r>
      <w:r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</w:rPr>
        <w:t>管理系统</w:t>
      </w:r>
    </w:p>
    <w:p w14:paraId="320C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（一）访客终端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套）</w:t>
      </w:r>
    </w:p>
    <w:p w14:paraId="16D1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外来人员进校前，需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通过访客登记核验终端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对来访人员做登记处理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核验通过后，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访客凭本人身份证刷卡比对成功后，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进行对应门禁系统的授权处理，对访客来访期间所做的操作进行记录，并提供访客预约、访客自助服务等功能。</w:t>
      </w:r>
    </w:p>
    <w:p w14:paraId="2AB3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预约来访人员可与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访人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进行联系，由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给来访人员下发一条短信、或者微信链接，由预约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来访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人员主动登记相关信息，联系人审核通过后，预约来访人可在校门口访客终端处核验后进入学校道闸。</w:t>
      </w:r>
    </w:p>
    <w:p w14:paraId="3108B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（二）人员门禁道闸</w:t>
      </w:r>
    </w:p>
    <w:p w14:paraId="611BA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两校区人员门禁道闸系统各4个通道，共10组人员门禁闸机。</w:t>
      </w:r>
    </w:p>
    <w:p w14:paraId="7548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（三）车辆进出管理系统（2套）</w:t>
      </w:r>
    </w:p>
    <w:p w14:paraId="67166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车辆进出需通过学校车辆出入管理系统，车辆出入管理系统和学校智慧管理系统数据互通，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记录车辆进出情况，并统计车辆、剩余车位相关情况，便于学校安保人员进行管理。同时，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三校区数据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共享。</w:t>
      </w:r>
    </w:p>
    <w:p w14:paraId="79EC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eastAsia="zh-CN"/>
        </w:rPr>
        <w:t>二、校园室外监控</w:t>
      </w: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系统</w:t>
      </w:r>
    </w:p>
    <w:p w14:paraId="3AA2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两校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监控各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700个（共计1400个）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高清监控摄像头。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其中400万像素摄像头各628个（共1256个），高空抛物各 35个（共70个），高清人脸抓拍各 35个（共70个），高清球机各 2个（共4个）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摄像头基本参数要求：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400万像素、全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天候彩色图像、网线供电（监控摄像头及其配套设备均需要集中供电，电缆一律使用国标电缆）等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62F60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eastAsia="zh-CN"/>
        </w:rPr>
        <w:t>三、校园监控大屏建设</w:t>
      </w:r>
    </w:p>
    <w:p w14:paraId="52D3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两校区监控中心拟各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）的LED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大屏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点间距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1.6的LED屏，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所有室外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视频监控全部接入大屏统一管理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由智慧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AI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系统（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第三方提供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实时对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数据进行分析，如遇到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异常情况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，直接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在监控中心大屏上弹窗报警和同时推送到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岗位责任人、安保人员、管理干部等手机上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相关人员及时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视频监控中心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应配备正常使用和用于指挥的必要的设施设备。</w:t>
      </w:r>
    </w:p>
    <w:p w14:paraId="6E8F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注：教室、教学功能室、宿舍院内监控采用监控分区显示，由主管处室适时管理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7C2A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eastAsia="zh-CN"/>
        </w:rPr>
        <w:t>、监控数据</w:t>
      </w: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存储</w:t>
      </w:r>
    </w:p>
    <w:p w14:paraId="14D70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（一）监控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数据存储时间要求：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各校区校门口、危化品室等重要部位、场所（各不超过40个）数据存储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90天，其余摄像头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数据存储时间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30天。</w:t>
      </w:r>
    </w:p>
    <w:p w14:paraId="3E80F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（二）监控数据储存图像要求：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所有视频储存数据不少于2兆码流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128D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视频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储存插口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预留：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前只预留够以上储存插口，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所有监控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视频储存数据不少于2兆码流，时间为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7天。</w:t>
      </w:r>
    </w:p>
    <w:p w14:paraId="22347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五、数据传输</w:t>
      </w:r>
    </w:p>
    <w:p w14:paraId="C3303D4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龙湖、兴文两校区与云屏校区用数据专线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联共享使用平台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（另行采购）</w:t>
      </w:r>
    </w:p>
    <w:p w14:paraId="2A448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设备</w:t>
      </w: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材料要求</w:t>
      </w:r>
    </w:p>
    <w:p w14:paraId="35AC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（一）网络拓扑结构要求。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机房中心到楼宇（分区）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楼宇（分区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）内交换机之间必须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用光纤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，终端交换机到摄像头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用六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网线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（Cat.6）对接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394F9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网络设备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楼宇交换机采用24或者16口，中端交换机采用8口，交换机之间全部用光模块，不能用光纤收发器。</w:t>
      </w:r>
    </w:p>
    <w:p w14:paraId="6002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所有交换机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流量必须千兆以上，中心核心交换机到重点区域流量万兆。</w:t>
      </w:r>
    </w:p>
    <w:p w14:paraId="336D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光纤线比实际使用的路数要多一倍。</w:t>
      </w:r>
    </w:p>
    <w:p w14:paraId="542D2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网线和电源线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材质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国标无氧铜，线材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查验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留样。</w:t>
      </w:r>
    </w:p>
    <w:p w14:paraId="78CCC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国标黑体" w:hAnsi="国标黑体" w:eastAsia="国标黑体" w:cs="国标黑体"/>
          <w:b/>
          <w:bCs/>
          <w:color w:val="auto"/>
          <w:sz w:val="32"/>
          <w:szCs w:val="32"/>
          <w:lang w:eastAsia="zh-CN"/>
        </w:rPr>
        <w:t>七、</w:t>
      </w:r>
      <w:r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  <w:lang w:eastAsia="zh-CN"/>
        </w:rPr>
        <w:t>项目</w:t>
      </w:r>
      <w:r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技术要求</w:t>
      </w:r>
    </w:p>
    <w:p w14:paraId="2C8368E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本项目应满足《中小学、幼儿园安全防范要求》（GB/T 29315-2022）、《安全防范工程通用规范》（GB 55029-2022）、《公共安全视频监控联网系统信息传输、交换、控制技术要求》（GB/T 28181-2022）等现行国家、行业及地方的强制性标准及规范要求。</w:t>
      </w:r>
    </w:p>
    <w:p w14:paraId="0A7E6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/>
          <w:bCs/>
          <w:color w:val="auto"/>
          <w:sz w:val="32"/>
          <w:szCs w:val="32"/>
          <w:lang w:val="en-US" w:eastAsia="zh-CN"/>
        </w:rPr>
        <w:t>八、商务要求</w:t>
      </w:r>
      <w:bookmarkStart w:id="10" w:name="_GoBack"/>
      <w:bookmarkEnd w:id="10"/>
    </w:p>
    <w:p w14:paraId="25DE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国标黑体" w:hAnsi="国标黑体" w:eastAsia="国标黑体" w:cs="国标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（一）项目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质量保障</w:t>
      </w:r>
    </w:p>
    <w:p w14:paraId="534A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设备质保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期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5年</w:t>
      </w:r>
      <w:bookmarkStart w:id="0" w:name="_Toc431380570"/>
      <w:bookmarkStart w:id="1" w:name="_Toc431606118"/>
      <w:bookmarkStart w:id="2" w:name="_Toc525617838"/>
      <w:bookmarkStart w:id="3" w:name="_Toc521926641"/>
      <w:bookmarkStart w:id="4" w:name="_Toc112143454"/>
      <w:bookmarkStart w:id="5" w:name="_Toc229687594"/>
      <w:bookmarkStart w:id="6" w:name="_Toc142443832"/>
      <w:bookmarkStart w:id="7" w:name="_Toc152552436"/>
      <w:bookmarkStart w:id="8" w:name="_Toc431380253"/>
      <w:bookmarkStart w:id="9" w:name="_Toc8275077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4570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</w:p>
    <w:p w14:paraId="4699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校区机房服务器上架，其他附属设备按需配备齐全。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8F5FB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ECAD7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ECAD7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pStyle w:val="10"/>
      <w:lvlText w:val=""/>
      <w:lvlJc w:val="left"/>
      <w:pPr>
        <w:ind w:left="-71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349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769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189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1609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029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449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2869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289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9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360" w:lineRule="auto"/>
      <w:ind w:left="0" w:right="0" w:firstLine="200" w:firstLineChars="200"/>
      <w:jc w:val="both"/>
    </w:pPr>
    <w:rPr>
      <w:rFonts w:hint="default" w:ascii="Arial" w:hAnsi="Arial" w:eastAsia="宋体" w:cs="宋体"/>
      <w:kern w:val="2"/>
      <w:sz w:val="24"/>
      <w:szCs w:val="20"/>
      <w:lang w:val="en-US"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 w:firstLine="0" w:firstLineChars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7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cs="Times New Roman"/>
      <w:b/>
      <w:bCs/>
      <w:szCs w:val="24"/>
    </w:rPr>
  </w:style>
  <w:style w:type="paragraph" w:customStyle="1" w:styleId="10">
    <w:name w:val="箭头样式1"/>
    <w:basedOn w:val="11"/>
    <w:qFormat/>
    <w:uiPriority w:val="0"/>
    <w:pPr>
      <w:keepNext w:val="0"/>
      <w:keepLines w:val="0"/>
      <w:widowControl w:val="0"/>
      <w:numPr>
        <w:ilvl w:val="0"/>
        <w:numId w:val="1"/>
      </w:numPr>
      <w:suppressLineNumbers w:val="0"/>
      <w:spacing w:before="0" w:beforeAutospacing="0" w:after="0" w:afterAutospacing="0" w:line="360" w:lineRule="auto"/>
      <w:ind w:left="0" w:right="0" w:firstLine="0" w:firstLineChars="0"/>
      <w:jc w:val="left"/>
    </w:pPr>
    <w:rPr>
      <w:rFonts w:hint="default" w:ascii="Calibri" w:hAnsi="Calibri" w:eastAsia="宋体" w:cs="Times New Roman"/>
      <w:kern w:val="2"/>
      <w:sz w:val="24"/>
      <w:szCs w:val="24"/>
      <w:lang w:val="en-US" w:eastAsia="zh-CN"/>
    </w:rPr>
  </w:style>
  <w:style w:type="paragraph" w:customStyle="1" w:styleId="11">
    <w:name w:val="列出段落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12">
    <w:name w:val="样式 首行缩进:  0 字符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Arial" w:hAnsi="Arial" w:eastAsia="宋体" w:cs="宋体"/>
      <w:kern w:val="2"/>
      <w:sz w:val="24"/>
      <w:szCs w:val="20"/>
      <w:lang w:val="en-US" w:eastAsia="zh-CN"/>
    </w:rPr>
  </w:style>
  <w:style w:type="paragraph" w:customStyle="1" w:styleId="13">
    <w:name w:val="1正文"/>
    <w:basedOn w:val="1"/>
    <w:qFormat/>
    <w:uiPriority w:val="0"/>
    <w:pPr>
      <w:adjustRightInd w:val="0"/>
      <w:spacing w:after="0" w:line="360" w:lineRule="auto"/>
      <w:ind w:left="-38" w:leftChars="-38" w:firstLine="482"/>
      <w:textAlignment w:val="baseline"/>
    </w:pPr>
    <w:rPr>
      <w:rFonts w:ascii="宋体" w:hAnsi="宋体" w:cs="Times New Roman"/>
      <w:kern w:val="0"/>
      <w:sz w:val="2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1314</Words>
  <Characters>1386</Characters>
  <Paragraphs>39</Paragraphs>
  <TotalTime>3</TotalTime>
  <ScaleCrop>false</ScaleCrop>
  <LinksUpToDate>false</LinksUpToDate>
  <CharactersWithSpaces>1394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2024-08-28T07:10:00Z</dcterms:created>
  <dc:creator>Administrator</dc:creator>
  <cp:lastModifiedBy>猴子的爸爸</cp:lastModifiedBy>
  <cp:lastPrinted>2013-01-17T07:22:00Z</cp:lastPrinted>
  <dcterms:modified xsi:type="dcterms:W3CDTF">2026-06-20T11:02:36Z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6A5CE55756614684BCBC28EC6E0E1F4A_13</vt:lpwstr>
  </property>
  <property fmtid="{D5CDD505-2E9C-101B-9397-08002B2CF9AE}" pid="4" name="KSOTemplateDocerSaveRecord">
    <vt:lpwstr>eyJoZGlkIjoiZmY4M2YyOGZjZWU1OTk4MTI2N2VmYjM2YmZkYThlZTAiLCJ1c2VySWQiOiI0MTA0Njk2OTAifQ==</vt:lpwstr>
  </property>
</Properties>
</file>